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FF" w:rsidRDefault="00E27C25">
      <w:pPr>
        <w:shd w:val="clear" w:color="auto" w:fill="FFFFFE"/>
        <w:autoSpaceDE w:val="0"/>
        <w:autoSpaceDN w:val="0"/>
        <w:adjustRightInd w:val="0"/>
        <w:jc w:val="left"/>
        <w:outlineLvl w:val="0"/>
        <w:rPr>
          <w:rFonts w:ascii="黑体" w:eastAsia="黑体" w:hAnsi="黑体"/>
          <w:bCs/>
          <w:kern w:val="0"/>
          <w:szCs w:val="24"/>
        </w:rPr>
      </w:pPr>
      <w:r>
        <w:rPr>
          <w:rFonts w:ascii="黑体" w:eastAsia="黑体" w:hAnsi="黑体" w:hint="eastAsia"/>
          <w:bCs/>
          <w:kern w:val="0"/>
          <w:szCs w:val="24"/>
        </w:rPr>
        <w:t>附件</w:t>
      </w:r>
      <w:r>
        <w:rPr>
          <w:rFonts w:ascii="黑体" w:eastAsia="黑体" w:hAnsi="黑体"/>
          <w:bCs/>
          <w:kern w:val="0"/>
          <w:szCs w:val="24"/>
        </w:rPr>
        <w:t>1</w:t>
      </w:r>
    </w:p>
    <w:p w:rsidR="00D728FF" w:rsidRDefault="00D728FF">
      <w:pPr>
        <w:shd w:val="clear" w:color="auto" w:fill="FFFFFE"/>
        <w:autoSpaceDN w:val="0"/>
        <w:outlineLvl w:val="0"/>
        <w:rPr>
          <w:rFonts w:eastAsia="黑体"/>
          <w:bCs/>
          <w:kern w:val="0"/>
          <w:szCs w:val="24"/>
        </w:rPr>
      </w:pPr>
    </w:p>
    <w:p w:rsidR="00D728FF" w:rsidRDefault="00E27C25">
      <w:pPr>
        <w:spacing w:line="600" w:lineRule="exact"/>
        <w:jc w:val="center"/>
        <w:rPr>
          <w:rFonts w:eastAsia="方正小标宋简体"/>
          <w:kern w:val="0"/>
          <w:sz w:val="44"/>
          <w:szCs w:val="44"/>
        </w:rPr>
      </w:pPr>
      <w:r>
        <w:rPr>
          <w:rFonts w:eastAsia="方正小标宋简体" w:hint="eastAsia"/>
          <w:kern w:val="0"/>
          <w:sz w:val="44"/>
          <w:szCs w:val="44"/>
        </w:rPr>
        <w:t>山东省企业环境</w:t>
      </w:r>
      <w:bookmarkStart w:id="0" w:name="_GoBack"/>
      <w:bookmarkEnd w:id="0"/>
      <w:r>
        <w:rPr>
          <w:rFonts w:eastAsia="方正小标宋简体" w:hint="eastAsia"/>
          <w:kern w:val="0"/>
          <w:sz w:val="44"/>
          <w:szCs w:val="44"/>
        </w:rPr>
        <w:t>违法违规行为记分标准</w:t>
      </w:r>
    </w:p>
    <w:p w:rsidR="00D728FF" w:rsidRDefault="00D728FF">
      <w:pPr>
        <w:shd w:val="clear" w:color="auto" w:fill="FFFFFE"/>
        <w:autoSpaceDE w:val="0"/>
        <w:autoSpaceDN w:val="0"/>
        <w:spacing w:line="600" w:lineRule="exact"/>
        <w:jc w:val="center"/>
        <w:outlineLvl w:val="0"/>
        <w:rPr>
          <w:rFonts w:eastAsia="楷体"/>
          <w:kern w:val="0"/>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6545"/>
        <w:gridCol w:w="1109"/>
      </w:tblGrid>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spacing w:line="300" w:lineRule="exact"/>
              <w:jc w:val="center"/>
              <w:outlineLvl w:val="0"/>
              <w:rPr>
                <w:rFonts w:eastAsia="黑体"/>
                <w:kern w:val="0"/>
                <w:szCs w:val="21"/>
                <w:shd w:val="clear" w:color="auto" w:fill="FEFFFE"/>
              </w:rPr>
            </w:pPr>
            <w:r>
              <w:rPr>
                <w:rFonts w:eastAsia="黑体" w:hint="eastAsia"/>
                <w:kern w:val="0"/>
                <w:sz w:val="21"/>
                <w:szCs w:val="21"/>
                <w:shd w:val="clear" w:color="auto" w:fill="FEFFFE"/>
              </w:rPr>
              <w:t>序号</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spacing w:line="300" w:lineRule="exact"/>
              <w:jc w:val="center"/>
              <w:outlineLvl w:val="0"/>
              <w:rPr>
                <w:rFonts w:eastAsia="黑体"/>
                <w:kern w:val="0"/>
                <w:szCs w:val="21"/>
                <w:shd w:val="clear" w:color="auto" w:fill="FEFFFE"/>
              </w:rPr>
            </w:pPr>
            <w:r>
              <w:rPr>
                <w:rFonts w:eastAsia="黑体" w:hint="eastAsia"/>
                <w:kern w:val="0"/>
                <w:sz w:val="21"/>
                <w:szCs w:val="21"/>
                <w:shd w:val="clear" w:color="auto" w:fill="FEFFFE"/>
              </w:rPr>
              <w:t>环境违法违规行为处罚处理类别</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spacing w:line="300" w:lineRule="exact"/>
              <w:jc w:val="center"/>
              <w:outlineLvl w:val="0"/>
              <w:rPr>
                <w:rFonts w:eastAsia="黑体"/>
                <w:kern w:val="0"/>
                <w:szCs w:val="21"/>
                <w:shd w:val="clear" w:color="auto" w:fill="FEFFFE"/>
              </w:rPr>
            </w:pPr>
            <w:proofErr w:type="gramStart"/>
            <w:r>
              <w:rPr>
                <w:rFonts w:eastAsia="黑体" w:hint="eastAsia"/>
                <w:kern w:val="0"/>
                <w:sz w:val="21"/>
                <w:szCs w:val="21"/>
                <w:shd w:val="clear" w:color="auto" w:fill="FEFFFE"/>
              </w:rPr>
              <w:t>记分值</w:t>
            </w:r>
            <w:proofErr w:type="gramEnd"/>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hint="eastAsia"/>
                <w:kern w:val="0"/>
                <w:sz w:val="21"/>
                <w:szCs w:val="21"/>
              </w:rPr>
              <w:t>责令改正或者限期改正</w:t>
            </w:r>
          </w:p>
          <w:p w:rsidR="00D728FF" w:rsidRDefault="00E27C25">
            <w:pPr>
              <w:widowControl/>
              <w:spacing w:line="300" w:lineRule="exact"/>
              <w:jc w:val="center"/>
              <w:rPr>
                <w:rFonts w:eastAsia="黑体"/>
                <w:kern w:val="0"/>
                <w:szCs w:val="21"/>
              </w:rPr>
            </w:pPr>
            <w:r>
              <w:rPr>
                <w:rFonts w:eastAsia="黑体" w:hint="eastAsia"/>
                <w:kern w:val="0"/>
                <w:sz w:val="21"/>
                <w:szCs w:val="21"/>
              </w:rPr>
              <w:t>（不包含轻微违法行为不予行政处罚类案件）</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kern w:val="0"/>
                <w:sz w:val="21"/>
                <w:szCs w:val="21"/>
              </w:rPr>
              <w:t>1</w:t>
            </w:r>
            <w:r>
              <w:rPr>
                <w:rFonts w:eastAsia="黑体" w:hint="eastAsia"/>
                <w:kern w:val="0"/>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kern w:val="0"/>
                <w:sz w:val="21"/>
                <w:szCs w:val="21"/>
              </w:rPr>
              <w:t>警告</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kern w:val="0"/>
                <w:sz w:val="21"/>
                <w:szCs w:val="21"/>
              </w:rPr>
              <w:t>1</w:t>
            </w:r>
            <w:r>
              <w:rPr>
                <w:rFonts w:eastAsia="黑体" w:hint="eastAsia"/>
                <w:kern w:val="0"/>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3</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kern w:val="0"/>
                <w:sz w:val="21"/>
                <w:szCs w:val="21"/>
              </w:rPr>
              <w:t>罚款</w:t>
            </w:r>
          </w:p>
        </w:tc>
        <w:tc>
          <w:tcPr>
            <w:tcW w:w="6545"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hint="eastAsia"/>
                <w:kern w:val="0"/>
                <w:sz w:val="21"/>
                <w:szCs w:val="21"/>
              </w:rPr>
              <w:t>罚款不足</w:t>
            </w:r>
            <w:r>
              <w:rPr>
                <w:rFonts w:eastAsia="黑体"/>
                <w:kern w:val="0"/>
                <w:sz w:val="21"/>
                <w:szCs w:val="21"/>
              </w:rPr>
              <w:t>3</w:t>
            </w:r>
            <w:r>
              <w:rPr>
                <w:rFonts w:eastAsia="黑体" w:hint="eastAsia"/>
                <w:kern w:val="0"/>
                <w:sz w:val="21"/>
                <w:szCs w:val="21"/>
              </w:rPr>
              <w:t>万元</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kern w:val="0"/>
                <w:sz w:val="21"/>
                <w:szCs w:val="21"/>
              </w:rPr>
              <w:t>1</w:t>
            </w:r>
            <w:r>
              <w:rPr>
                <w:rFonts w:eastAsia="黑体" w:hint="eastAsia"/>
                <w:kern w:val="0"/>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4</w:t>
            </w:r>
          </w:p>
        </w:tc>
        <w:tc>
          <w:tcPr>
            <w:tcW w:w="993" w:type="dxa"/>
            <w:vMerge/>
            <w:tcBorders>
              <w:top w:val="single" w:sz="4" w:space="0" w:color="auto"/>
              <w:left w:val="single" w:sz="4" w:space="0" w:color="auto"/>
              <w:bottom w:val="single" w:sz="4" w:space="0" w:color="auto"/>
              <w:right w:val="single" w:sz="4" w:space="0" w:color="auto"/>
            </w:tcBorders>
            <w:vAlign w:val="center"/>
          </w:tcPr>
          <w:p w:rsidR="00D728FF" w:rsidRDefault="00D728FF">
            <w:pPr>
              <w:widowControl/>
              <w:jc w:val="left"/>
              <w:rPr>
                <w:rFonts w:eastAsia="黑体"/>
                <w:szCs w:val="21"/>
              </w:rPr>
            </w:pPr>
          </w:p>
        </w:tc>
        <w:tc>
          <w:tcPr>
            <w:tcW w:w="6545"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hint="eastAsia"/>
                <w:kern w:val="0"/>
                <w:sz w:val="21"/>
                <w:szCs w:val="21"/>
              </w:rPr>
              <w:t>罚款</w:t>
            </w:r>
            <w:r>
              <w:rPr>
                <w:rFonts w:eastAsia="黑体"/>
                <w:kern w:val="0"/>
                <w:sz w:val="21"/>
                <w:szCs w:val="21"/>
              </w:rPr>
              <w:t>3</w:t>
            </w:r>
            <w:r>
              <w:rPr>
                <w:rFonts w:eastAsia="黑体" w:hint="eastAsia"/>
                <w:kern w:val="0"/>
                <w:sz w:val="21"/>
                <w:szCs w:val="21"/>
              </w:rPr>
              <w:t>万元以上不足</w:t>
            </w:r>
            <w:r>
              <w:rPr>
                <w:rFonts w:eastAsia="黑体"/>
                <w:kern w:val="0"/>
                <w:sz w:val="21"/>
                <w:szCs w:val="21"/>
              </w:rPr>
              <w:t>20</w:t>
            </w:r>
            <w:r>
              <w:rPr>
                <w:rFonts w:eastAsia="黑体" w:hint="eastAsia"/>
                <w:kern w:val="0"/>
                <w:sz w:val="21"/>
                <w:szCs w:val="21"/>
              </w:rPr>
              <w:t>万元</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kern w:val="0"/>
                <w:sz w:val="21"/>
                <w:szCs w:val="21"/>
              </w:rPr>
              <w:t>2</w:t>
            </w:r>
            <w:r>
              <w:rPr>
                <w:rFonts w:eastAsia="黑体" w:hint="eastAsia"/>
                <w:kern w:val="0"/>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5</w:t>
            </w:r>
          </w:p>
        </w:tc>
        <w:tc>
          <w:tcPr>
            <w:tcW w:w="993" w:type="dxa"/>
            <w:vMerge/>
            <w:tcBorders>
              <w:top w:val="single" w:sz="4" w:space="0" w:color="auto"/>
              <w:left w:val="single" w:sz="4" w:space="0" w:color="auto"/>
              <w:bottom w:val="single" w:sz="4" w:space="0" w:color="auto"/>
              <w:right w:val="single" w:sz="4" w:space="0" w:color="auto"/>
            </w:tcBorders>
            <w:vAlign w:val="center"/>
          </w:tcPr>
          <w:p w:rsidR="00D728FF" w:rsidRDefault="00D728FF">
            <w:pPr>
              <w:widowControl/>
              <w:jc w:val="left"/>
              <w:rPr>
                <w:rFonts w:eastAsia="黑体"/>
                <w:szCs w:val="21"/>
              </w:rPr>
            </w:pPr>
          </w:p>
        </w:tc>
        <w:tc>
          <w:tcPr>
            <w:tcW w:w="6545"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hint="eastAsia"/>
                <w:kern w:val="0"/>
                <w:sz w:val="21"/>
                <w:szCs w:val="21"/>
              </w:rPr>
              <w:t>罚款</w:t>
            </w:r>
            <w:r>
              <w:rPr>
                <w:rFonts w:eastAsia="黑体"/>
                <w:kern w:val="0"/>
                <w:sz w:val="21"/>
                <w:szCs w:val="21"/>
              </w:rPr>
              <w:t>20</w:t>
            </w:r>
            <w:r>
              <w:rPr>
                <w:rFonts w:eastAsia="黑体" w:hint="eastAsia"/>
                <w:kern w:val="0"/>
                <w:sz w:val="21"/>
                <w:szCs w:val="21"/>
              </w:rPr>
              <w:t>万元以上不足</w:t>
            </w:r>
            <w:r>
              <w:rPr>
                <w:rFonts w:eastAsia="黑体"/>
                <w:kern w:val="0"/>
                <w:sz w:val="21"/>
                <w:szCs w:val="21"/>
              </w:rPr>
              <w:t>40</w:t>
            </w:r>
            <w:r>
              <w:rPr>
                <w:rFonts w:eastAsia="黑体" w:hint="eastAsia"/>
                <w:kern w:val="0"/>
                <w:sz w:val="21"/>
                <w:szCs w:val="21"/>
              </w:rPr>
              <w:t>万元</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kern w:val="0"/>
                <w:sz w:val="21"/>
                <w:szCs w:val="21"/>
              </w:rPr>
              <w:t>3</w:t>
            </w:r>
            <w:r>
              <w:rPr>
                <w:rFonts w:eastAsia="黑体" w:hint="eastAsia"/>
                <w:kern w:val="0"/>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6</w:t>
            </w:r>
          </w:p>
        </w:tc>
        <w:tc>
          <w:tcPr>
            <w:tcW w:w="993" w:type="dxa"/>
            <w:vMerge/>
            <w:tcBorders>
              <w:top w:val="single" w:sz="4" w:space="0" w:color="auto"/>
              <w:left w:val="single" w:sz="4" w:space="0" w:color="auto"/>
              <w:bottom w:val="single" w:sz="4" w:space="0" w:color="auto"/>
              <w:right w:val="single" w:sz="4" w:space="0" w:color="auto"/>
            </w:tcBorders>
            <w:vAlign w:val="center"/>
          </w:tcPr>
          <w:p w:rsidR="00D728FF" w:rsidRDefault="00D728FF">
            <w:pPr>
              <w:widowControl/>
              <w:jc w:val="left"/>
              <w:rPr>
                <w:rFonts w:eastAsia="黑体"/>
                <w:szCs w:val="21"/>
              </w:rPr>
            </w:pPr>
          </w:p>
        </w:tc>
        <w:tc>
          <w:tcPr>
            <w:tcW w:w="6545"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hint="eastAsia"/>
                <w:kern w:val="0"/>
                <w:sz w:val="21"/>
                <w:szCs w:val="21"/>
              </w:rPr>
              <w:t>罚款</w:t>
            </w:r>
            <w:r>
              <w:rPr>
                <w:rFonts w:eastAsia="黑体"/>
                <w:kern w:val="0"/>
                <w:sz w:val="21"/>
                <w:szCs w:val="21"/>
              </w:rPr>
              <w:t>40</w:t>
            </w:r>
            <w:r>
              <w:rPr>
                <w:rFonts w:eastAsia="黑体" w:hint="eastAsia"/>
                <w:kern w:val="0"/>
                <w:sz w:val="21"/>
                <w:szCs w:val="21"/>
              </w:rPr>
              <w:t>万元以上不足</w:t>
            </w:r>
            <w:r>
              <w:rPr>
                <w:rFonts w:eastAsia="黑体"/>
                <w:kern w:val="0"/>
                <w:sz w:val="21"/>
                <w:szCs w:val="21"/>
              </w:rPr>
              <w:t>60</w:t>
            </w:r>
            <w:r>
              <w:rPr>
                <w:rFonts w:eastAsia="黑体" w:hint="eastAsia"/>
                <w:kern w:val="0"/>
                <w:sz w:val="21"/>
                <w:szCs w:val="21"/>
              </w:rPr>
              <w:t>万元</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kern w:val="0"/>
                <w:sz w:val="21"/>
                <w:szCs w:val="21"/>
              </w:rPr>
              <w:t>4</w:t>
            </w:r>
            <w:r>
              <w:rPr>
                <w:rFonts w:eastAsia="黑体" w:hint="eastAsia"/>
                <w:kern w:val="0"/>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7</w:t>
            </w:r>
          </w:p>
        </w:tc>
        <w:tc>
          <w:tcPr>
            <w:tcW w:w="993" w:type="dxa"/>
            <w:vMerge/>
            <w:tcBorders>
              <w:top w:val="single" w:sz="4" w:space="0" w:color="auto"/>
              <w:left w:val="single" w:sz="4" w:space="0" w:color="auto"/>
              <w:bottom w:val="single" w:sz="4" w:space="0" w:color="auto"/>
              <w:right w:val="single" w:sz="4" w:space="0" w:color="auto"/>
            </w:tcBorders>
            <w:vAlign w:val="center"/>
          </w:tcPr>
          <w:p w:rsidR="00D728FF" w:rsidRDefault="00D728FF">
            <w:pPr>
              <w:widowControl/>
              <w:jc w:val="left"/>
              <w:rPr>
                <w:rFonts w:eastAsia="黑体"/>
                <w:szCs w:val="21"/>
              </w:rPr>
            </w:pPr>
          </w:p>
        </w:tc>
        <w:tc>
          <w:tcPr>
            <w:tcW w:w="6545"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hint="eastAsia"/>
                <w:kern w:val="0"/>
                <w:sz w:val="21"/>
                <w:szCs w:val="21"/>
              </w:rPr>
              <w:t>罚款</w:t>
            </w:r>
            <w:r>
              <w:rPr>
                <w:rFonts w:eastAsia="黑体"/>
                <w:kern w:val="0"/>
                <w:sz w:val="21"/>
                <w:szCs w:val="21"/>
              </w:rPr>
              <w:t>60</w:t>
            </w:r>
            <w:r>
              <w:rPr>
                <w:rFonts w:eastAsia="黑体" w:hint="eastAsia"/>
                <w:kern w:val="0"/>
                <w:sz w:val="21"/>
                <w:szCs w:val="21"/>
              </w:rPr>
              <w:t>万元以上</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spacing w:line="300" w:lineRule="exact"/>
              <w:jc w:val="center"/>
              <w:rPr>
                <w:rFonts w:eastAsia="黑体"/>
                <w:kern w:val="0"/>
                <w:szCs w:val="21"/>
              </w:rPr>
            </w:pPr>
            <w:r>
              <w:rPr>
                <w:rFonts w:eastAsia="黑体"/>
                <w:kern w:val="0"/>
                <w:sz w:val="21"/>
                <w:szCs w:val="21"/>
              </w:rPr>
              <w:t>6</w:t>
            </w:r>
            <w:r>
              <w:rPr>
                <w:rFonts w:eastAsia="黑体" w:hint="eastAsia"/>
                <w:kern w:val="0"/>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8</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kern w:val="0"/>
                <w:szCs w:val="21"/>
              </w:rPr>
            </w:pPr>
            <w:r>
              <w:rPr>
                <w:rFonts w:eastAsia="黑体" w:hint="eastAsia"/>
                <w:kern w:val="0"/>
                <w:sz w:val="21"/>
                <w:szCs w:val="21"/>
              </w:rPr>
              <w:t>责令停</w:t>
            </w:r>
          </w:p>
          <w:p w:rsidR="00D728FF" w:rsidRDefault="00E27C25">
            <w:pPr>
              <w:spacing w:line="300" w:lineRule="exact"/>
              <w:jc w:val="center"/>
              <w:rPr>
                <w:rFonts w:eastAsia="黑体"/>
                <w:szCs w:val="21"/>
              </w:rPr>
            </w:pPr>
            <w:proofErr w:type="gramStart"/>
            <w:r>
              <w:rPr>
                <w:rFonts w:eastAsia="黑体" w:hint="eastAsia"/>
                <w:kern w:val="0"/>
                <w:sz w:val="21"/>
                <w:szCs w:val="21"/>
              </w:rPr>
              <w:t>止</w:t>
            </w:r>
            <w:proofErr w:type="gramEnd"/>
            <w:r>
              <w:rPr>
                <w:rFonts w:eastAsia="黑体" w:hint="eastAsia"/>
                <w:kern w:val="0"/>
                <w:sz w:val="21"/>
                <w:szCs w:val="21"/>
              </w:rPr>
              <w:t>建设</w:t>
            </w:r>
          </w:p>
        </w:tc>
        <w:tc>
          <w:tcPr>
            <w:tcW w:w="654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报告表类建设项目</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kern w:val="0"/>
                <w:sz w:val="21"/>
                <w:szCs w:val="21"/>
              </w:rPr>
              <w:t>6</w:t>
            </w:r>
            <w:r>
              <w:rPr>
                <w:rFonts w:eastAsia="黑体" w:hint="eastAsia"/>
                <w:kern w:val="0"/>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9</w:t>
            </w:r>
          </w:p>
        </w:tc>
        <w:tc>
          <w:tcPr>
            <w:tcW w:w="993" w:type="dxa"/>
            <w:vMerge/>
            <w:tcBorders>
              <w:top w:val="single" w:sz="4" w:space="0" w:color="auto"/>
              <w:left w:val="single" w:sz="4" w:space="0" w:color="auto"/>
              <w:bottom w:val="single" w:sz="4" w:space="0" w:color="auto"/>
              <w:right w:val="single" w:sz="4" w:space="0" w:color="auto"/>
            </w:tcBorders>
            <w:vAlign w:val="center"/>
          </w:tcPr>
          <w:p w:rsidR="00D728FF" w:rsidRDefault="00D728FF">
            <w:pPr>
              <w:widowControl/>
              <w:jc w:val="left"/>
              <w:rPr>
                <w:rFonts w:eastAsia="黑体"/>
                <w:szCs w:val="21"/>
              </w:rPr>
            </w:pPr>
          </w:p>
        </w:tc>
        <w:tc>
          <w:tcPr>
            <w:tcW w:w="654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报告书类建设项目</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kern w:val="0"/>
                <w:sz w:val="21"/>
                <w:szCs w:val="21"/>
              </w:rPr>
              <w:t>12</w:t>
            </w:r>
            <w:r>
              <w:rPr>
                <w:rFonts w:eastAsia="黑体" w:hint="eastAsia"/>
                <w:kern w:val="0"/>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10</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责令限制生产</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6</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11</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责令停产整治</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12</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12</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实施查封、扣押</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6</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13</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没收违法所得、没收非法财物</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6</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14</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未依法取得排污许可证，或者被撤销、注销排污许可证后仍违规排放污染物的</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12</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15</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暂扣许可证或者其他具有许可性质的证件</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6</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16</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吊销许可证或者其他具有许可性质的证件</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12</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17</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移送适用行政拘留的环境违法案件</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12</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18</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列入企业环境污染责任保险投保范围而拒不投保的</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3</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19</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rPr>
              <w:t>签订生态环境损害赔偿协议后拒不履行赔偿义务的</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6</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20</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lang w:val="zh-CN"/>
              </w:rPr>
              <w:t>从事环境影响评价、环境损害司法鉴定、环境监（检）测服务、在线监控设施运行维护、环境监测设备供应、污染防治工程、污染防治设施运营维护、土壤（含地下水）污染风险管控和修复（包括土壤污染状况调查和土壤污染风险评估、风险管控、修复、风险管</w:t>
            </w:r>
            <w:proofErr w:type="gramStart"/>
            <w:r>
              <w:rPr>
                <w:rFonts w:eastAsia="黑体" w:hint="eastAsia"/>
                <w:sz w:val="21"/>
                <w:szCs w:val="21"/>
                <w:lang w:val="zh-CN"/>
              </w:rPr>
              <w:t>控效果</w:t>
            </w:r>
            <w:proofErr w:type="gramEnd"/>
            <w:r>
              <w:rPr>
                <w:rFonts w:eastAsia="黑体" w:hint="eastAsia"/>
                <w:sz w:val="21"/>
                <w:szCs w:val="21"/>
                <w:lang w:val="zh-CN"/>
              </w:rPr>
              <w:t>评估、修复效果评估、后期管理等）、机动车环保检验、排污许可证申领、生态环境统计、清洁生产审核等的机构，在工作中因严重违反相关规定被生态环境主管部门通报的</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3</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21</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lang w:val="zh-CN"/>
              </w:rPr>
            </w:pPr>
            <w:r>
              <w:rPr>
                <w:rFonts w:eastAsia="黑体" w:hint="eastAsia"/>
                <w:sz w:val="21"/>
                <w:szCs w:val="21"/>
              </w:rPr>
              <w:t>社会生态环境监测机构被监管部门通报责令整改，且在整改期间擅自对外出具检测数据、结果，或者逾期未改正的</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6</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22</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lang w:val="zh-CN"/>
              </w:rPr>
            </w:pPr>
            <w:r>
              <w:rPr>
                <w:rFonts w:eastAsia="黑体" w:hint="eastAsia"/>
                <w:sz w:val="21"/>
                <w:szCs w:val="21"/>
                <w:lang w:val="zh-CN"/>
              </w:rPr>
              <w:t>社会生态环境监测机构存在弄虚作假行为，出具虚假数据、报告，被实施行政处罚的</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12</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23</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lang w:val="zh-CN"/>
              </w:rPr>
              <w:t>经人民法院判决构成环境犯罪的</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24</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24</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lang w:val="zh-CN"/>
              </w:rPr>
            </w:pPr>
            <w:r>
              <w:rPr>
                <w:rFonts w:eastAsia="黑体" w:hint="eastAsia"/>
                <w:sz w:val="21"/>
                <w:szCs w:val="21"/>
                <w:lang w:val="zh-CN"/>
              </w:rPr>
              <w:t>拒不执行环境行政处罚决定或者行政命令的（在法定期限内未提起行政复议、行政诉讼，或者经行政复议、行政诉讼最终维持原决定）</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24</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lastRenderedPageBreak/>
              <w:t>25</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hint="eastAsia"/>
                <w:sz w:val="21"/>
                <w:szCs w:val="21"/>
                <w:lang w:val="zh-CN"/>
              </w:rPr>
              <w:t>被认定为因违法违规发生重大及以上突发环境事件的</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24</w:t>
            </w:r>
            <w:r>
              <w:rPr>
                <w:rFonts w:eastAsia="黑体" w:hint="eastAsia"/>
                <w:sz w:val="21"/>
                <w:szCs w:val="21"/>
              </w:rPr>
              <w:t>分</w:t>
            </w:r>
          </w:p>
        </w:tc>
      </w:tr>
      <w:tr w:rsidR="00D728FF">
        <w:trPr>
          <w:trHeight w:val="340"/>
        </w:trPr>
        <w:tc>
          <w:tcPr>
            <w:tcW w:w="675"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26</w:t>
            </w:r>
          </w:p>
        </w:tc>
        <w:tc>
          <w:tcPr>
            <w:tcW w:w="7538" w:type="dxa"/>
            <w:gridSpan w:val="2"/>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lang w:val="zh-CN"/>
              </w:rPr>
            </w:pPr>
            <w:r>
              <w:rPr>
                <w:rFonts w:eastAsia="黑体" w:hint="eastAsia"/>
                <w:kern w:val="0"/>
                <w:sz w:val="21"/>
                <w:szCs w:val="21"/>
                <w:shd w:val="clear" w:color="auto" w:fill="FEFFFE"/>
              </w:rPr>
              <w:t>以暴力、威胁等方式拒绝、阻挠工作人员进行生态环境现场检查，被认定为具有妨害执行公务行为的</w:t>
            </w:r>
          </w:p>
        </w:tc>
        <w:tc>
          <w:tcPr>
            <w:tcW w:w="1109" w:type="dxa"/>
            <w:tcBorders>
              <w:top w:val="single" w:sz="4" w:space="0" w:color="auto"/>
              <w:left w:val="single" w:sz="4" w:space="0" w:color="auto"/>
              <w:bottom w:val="single" w:sz="4" w:space="0" w:color="auto"/>
              <w:right w:val="single" w:sz="4" w:space="0" w:color="auto"/>
            </w:tcBorders>
            <w:noWrap/>
            <w:vAlign w:val="center"/>
          </w:tcPr>
          <w:p w:rsidR="00D728FF" w:rsidRDefault="00E27C25">
            <w:pPr>
              <w:spacing w:line="300" w:lineRule="exact"/>
              <w:jc w:val="center"/>
              <w:rPr>
                <w:rFonts w:eastAsia="黑体"/>
                <w:szCs w:val="21"/>
              </w:rPr>
            </w:pPr>
            <w:r>
              <w:rPr>
                <w:rFonts w:eastAsia="黑体"/>
                <w:sz w:val="21"/>
                <w:szCs w:val="21"/>
              </w:rPr>
              <w:t>24</w:t>
            </w:r>
            <w:r>
              <w:rPr>
                <w:rFonts w:eastAsia="黑体" w:hint="eastAsia"/>
                <w:sz w:val="21"/>
                <w:szCs w:val="21"/>
              </w:rPr>
              <w:t>分</w:t>
            </w:r>
          </w:p>
        </w:tc>
      </w:tr>
    </w:tbl>
    <w:p w:rsidR="00D728FF" w:rsidRDefault="00E27C25">
      <w:pPr>
        <w:spacing w:line="560" w:lineRule="exact"/>
        <w:rPr>
          <w:rFonts w:eastAsia="黑体"/>
          <w:kern w:val="0"/>
          <w:szCs w:val="21"/>
          <w:shd w:val="clear" w:color="auto" w:fill="FEFFFE"/>
        </w:rPr>
      </w:pPr>
      <w:r>
        <w:rPr>
          <w:rFonts w:eastAsia="黑体" w:hint="eastAsia"/>
          <w:kern w:val="0"/>
          <w:sz w:val="21"/>
          <w:szCs w:val="21"/>
          <w:shd w:val="clear" w:color="auto" w:fill="FEFFFE"/>
        </w:rPr>
        <w:t>注：</w:t>
      </w:r>
      <w:r>
        <w:rPr>
          <w:rFonts w:eastAsia="黑体"/>
          <w:kern w:val="0"/>
          <w:sz w:val="21"/>
          <w:szCs w:val="21"/>
          <w:shd w:val="clear" w:color="auto" w:fill="FEFFFE"/>
        </w:rPr>
        <w:t>1.</w:t>
      </w:r>
      <w:r>
        <w:rPr>
          <w:rFonts w:eastAsia="黑体" w:hint="eastAsia"/>
          <w:kern w:val="0"/>
          <w:sz w:val="21"/>
          <w:szCs w:val="21"/>
          <w:shd w:val="clear" w:color="auto" w:fill="FEFFFE"/>
        </w:rPr>
        <w:t>对企业不同的环境违法违规行为，采取分次记分。</w:t>
      </w:r>
    </w:p>
    <w:p w:rsidR="00D728FF" w:rsidRDefault="00E27C25">
      <w:pPr>
        <w:spacing w:line="560" w:lineRule="exact"/>
        <w:ind w:firstLineChars="200" w:firstLine="420"/>
        <w:rPr>
          <w:rFonts w:eastAsia="黑体"/>
          <w:kern w:val="0"/>
          <w:szCs w:val="21"/>
          <w:shd w:val="clear" w:color="auto" w:fill="FEFFFE"/>
        </w:rPr>
      </w:pPr>
      <w:r>
        <w:rPr>
          <w:rFonts w:eastAsia="黑体"/>
          <w:kern w:val="0"/>
          <w:sz w:val="21"/>
          <w:szCs w:val="21"/>
          <w:shd w:val="clear" w:color="auto" w:fill="FEFFFE"/>
        </w:rPr>
        <w:t>2.</w:t>
      </w:r>
      <w:r>
        <w:rPr>
          <w:rFonts w:eastAsia="黑体" w:hint="eastAsia"/>
          <w:kern w:val="0"/>
          <w:sz w:val="21"/>
          <w:szCs w:val="21"/>
          <w:shd w:val="clear" w:color="auto" w:fill="FEFFFE"/>
        </w:rPr>
        <w:t>对企业某一环境违法违规行为，采取两种以上环境行政处罚处理措施的，按照</w:t>
      </w:r>
      <w:proofErr w:type="gramStart"/>
      <w:r>
        <w:rPr>
          <w:rFonts w:eastAsia="黑体" w:hint="eastAsia"/>
          <w:kern w:val="0"/>
          <w:sz w:val="21"/>
          <w:szCs w:val="21"/>
          <w:shd w:val="clear" w:color="auto" w:fill="FEFFFE"/>
        </w:rPr>
        <w:t>记分值</w:t>
      </w:r>
      <w:proofErr w:type="gramEnd"/>
      <w:r>
        <w:rPr>
          <w:rFonts w:eastAsia="黑体" w:hint="eastAsia"/>
          <w:kern w:val="0"/>
          <w:sz w:val="21"/>
          <w:szCs w:val="21"/>
          <w:shd w:val="clear" w:color="auto" w:fill="FEFFFE"/>
        </w:rPr>
        <w:t>最高的类别进行记分。如企业污染物超标排放，分别采取罚款</w:t>
      </w:r>
      <w:r>
        <w:rPr>
          <w:rFonts w:eastAsia="黑体"/>
          <w:kern w:val="0"/>
          <w:sz w:val="21"/>
          <w:szCs w:val="21"/>
          <w:shd w:val="clear" w:color="auto" w:fill="FEFFFE"/>
        </w:rPr>
        <w:t>10</w:t>
      </w:r>
      <w:r>
        <w:rPr>
          <w:rFonts w:eastAsia="黑体" w:hint="eastAsia"/>
          <w:kern w:val="0"/>
          <w:sz w:val="21"/>
          <w:szCs w:val="21"/>
          <w:shd w:val="clear" w:color="auto" w:fill="FEFFFE"/>
        </w:rPr>
        <w:t>万元和限制生产处理措施，按照限制生产类别进行记分。</w:t>
      </w:r>
    </w:p>
    <w:p w:rsidR="00D728FF" w:rsidRDefault="00E27C25">
      <w:pPr>
        <w:spacing w:line="560" w:lineRule="exact"/>
        <w:ind w:firstLineChars="200" w:firstLine="420"/>
        <w:rPr>
          <w:rFonts w:eastAsia="黑体"/>
          <w:kern w:val="0"/>
          <w:szCs w:val="21"/>
          <w:shd w:val="clear" w:color="auto" w:fill="FEFFFE"/>
        </w:rPr>
      </w:pPr>
      <w:r>
        <w:rPr>
          <w:rFonts w:eastAsia="黑体"/>
          <w:kern w:val="0"/>
          <w:sz w:val="21"/>
          <w:szCs w:val="21"/>
          <w:shd w:val="clear" w:color="auto" w:fill="FEFFFE"/>
        </w:rPr>
        <w:t>3.</w:t>
      </w:r>
      <w:r>
        <w:rPr>
          <w:rFonts w:eastAsia="黑体" w:hint="eastAsia"/>
          <w:kern w:val="0"/>
          <w:sz w:val="21"/>
          <w:szCs w:val="21"/>
          <w:shd w:val="clear" w:color="auto" w:fill="FEFFFE"/>
        </w:rPr>
        <w:t>对企业同时出现两种以上环境违法违规行为、采取两种以上环境行政处罚处理措施的，按照各种违法行为</w:t>
      </w:r>
      <w:proofErr w:type="gramStart"/>
      <w:r>
        <w:rPr>
          <w:rFonts w:eastAsia="黑体" w:hint="eastAsia"/>
          <w:kern w:val="0"/>
          <w:sz w:val="21"/>
          <w:szCs w:val="21"/>
          <w:shd w:val="clear" w:color="auto" w:fill="FEFFFE"/>
        </w:rPr>
        <w:t>记分值</w:t>
      </w:r>
      <w:proofErr w:type="gramEnd"/>
      <w:r>
        <w:rPr>
          <w:rFonts w:eastAsia="黑体" w:hint="eastAsia"/>
          <w:kern w:val="0"/>
          <w:sz w:val="21"/>
          <w:szCs w:val="21"/>
          <w:shd w:val="clear" w:color="auto" w:fill="FEFFFE"/>
        </w:rPr>
        <w:t>最高的类别分别记分，累计计算。如某企业大气污染物超标排放被罚款</w:t>
      </w:r>
      <w:r>
        <w:rPr>
          <w:rFonts w:eastAsia="黑体"/>
          <w:kern w:val="0"/>
          <w:sz w:val="21"/>
          <w:szCs w:val="21"/>
          <w:shd w:val="clear" w:color="auto" w:fill="FEFFFE"/>
        </w:rPr>
        <w:t>30</w:t>
      </w:r>
      <w:r>
        <w:rPr>
          <w:rFonts w:eastAsia="黑体" w:hint="eastAsia"/>
          <w:kern w:val="0"/>
          <w:sz w:val="21"/>
          <w:szCs w:val="21"/>
          <w:shd w:val="clear" w:color="auto" w:fill="FEFFFE"/>
        </w:rPr>
        <w:t>万元，同时又有擅自移动改变大气污染物排放自动监测设备的违法行为被罚款</w:t>
      </w:r>
      <w:r>
        <w:rPr>
          <w:rFonts w:eastAsia="黑体"/>
          <w:kern w:val="0"/>
          <w:sz w:val="21"/>
          <w:szCs w:val="21"/>
          <w:shd w:val="clear" w:color="auto" w:fill="FEFFFE"/>
        </w:rPr>
        <w:t>10</w:t>
      </w:r>
      <w:r>
        <w:rPr>
          <w:rFonts w:eastAsia="黑体" w:hint="eastAsia"/>
          <w:kern w:val="0"/>
          <w:sz w:val="21"/>
          <w:szCs w:val="21"/>
          <w:shd w:val="clear" w:color="auto" w:fill="FEFFFE"/>
        </w:rPr>
        <w:t>万元，并移送公安机关拘留。前者按照罚款</w:t>
      </w:r>
      <w:r>
        <w:rPr>
          <w:rFonts w:eastAsia="黑体"/>
          <w:kern w:val="0"/>
          <w:sz w:val="21"/>
          <w:szCs w:val="21"/>
          <w:shd w:val="clear" w:color="auto" w:fill="FEFFFE"/>
        </w:rPr>
        <w:t>30</w:t>
      </w:r>
      <w:r>
        <w:rPr>
          <w:rFonts w:eastAsia="黑体" w:hint="eastAsia"/>
          <w:kern w:val="0"/>
          <w:sz w:val="21"/>
          <w:szCs w:val="21"/>
          <w:shd w:val="clear" w:color="auto" w:fill="FEFFFE"/>
        </w:rPr>
        <w:t>万元记</w:t>
      </w:r>
      <w:r>
        <w:rPr>
          <w:rFonts w:eastAsia="黑体"/>
          <w:kern w:val="0"/>
          <w:sz w:val="21"/>
          <w:szCs w:val="21"/>
          <w:shd w:val="clear" w:color="auto" w:fill="FEFFFE"/>
        </w:rPr>
        <w:t>3</w:t>
      </w:r>
      <w:r>
        <w:rPr>
          <w:rFonts w:eastAsia="黑体" w:hint="eastAsia"/>
          <w:kern w:val="0"/>
          <w:sz w:val="21"/>
          <w:szCs w:val="21"/>
          <w:shd w:val="clear" w:color="auto" w:fill="FEFFFE"/>
        </w:rPr>
        <w:t>分，后者按照记分最高的移送拘留记</w:t>
      </w:r>
      <w:r>
        <w:rPr>
          <w:rFonts w:eastAsia="黑体"/>
          <w:kern w:val="0"/>
          <w:sz w:val="21"/>
          <w:szCs w:val="21"/>
          <w:shd w:val="clear" w:color="auto" w:fill="FEFFFE"/>
        </w:rPr>
        <w:t>12</w:t>
      </w:r>
      <w:r>
        <w:rPr>
          <w:rFonts w:eastAsia="黑体" w:hint="eastAsia"/>
          <w:kern w:val="0"/>
          <w:sz w:val="21"/>
          <w:szCs w:val="21"/>
          <w:shd w:val="clear" w:color="auto" w:fill="FEFFFE"/>
        </w:rPr>
        <w:t>分，对该企业的两种违法行为一次共记</w:t>
      </w:r>
      <w:r>
        <w:rPr>
          <w:rFonts w:eastAsia="黑体"/>
          <w:kern w:val="0"/>
          <w:sz w:val="21"/>
          <w:szCs w:val="21"/>
          <w:shd w:val="clear" w:color="auto" w:fill="FEFFFE"/>
        </w:rPr>
        <w:t>15</w:t>
      </w:r>
      <w:r>
        <w:rPr>
          <w:rFonts w:eastAsia="黑体" w:hint="eastAsia"/>
          <w:kern w:val="0"/>
          <w:sz w:val="21"/>
          <w:szCs w:val="21"/>
          <w:shd w:val="clear" w:color="auto" w:fill="FEFFFE"/>
        </w:rPr>
        <w:t>分。</w:t>
      </w:r>
    </w:p>
    <w:p w:rsidR="00D728FF" w:rsidRDefault="00E27C25">
      <w:pPr>
        <w:spacing w:line="560" w:lineRule="exact"/>
        <w:ind w:firstLineChars="200" w:firstLine="420"/>
        <w:rPr>
          <w:rFonts w:eastAsia="黑体"/>
          <w:kern w:val="0"/>
          <w:szCs w:val="21"/>
          <w:shd w:val="clear" w:color="auto" w:fill="FEFFFE"/>
        </w:rPr>
      </w:pPr>
      <w:r>
        <w:rPr>
          <w:rFonts w:eastAsia="黑体"/>
          <w:kern w:val="0"/>
          <w:sz w:val="21"/>
          <w:szCs w:val="21"/>
          <w:shd w:val="clear" w:color="auto" w:fill="FEFFFE"/>
        </w:rPr>
        <w:t>4.</w:t>
      </w:r>
      <w:r>
        <w:rPr>
          <w:rFonts w:eastAsia="黑体" w:hint="eastAsia"/>
          <w:sz w:val="21"/>
          <w:szCs w:val="21"/>
          <w:lang w:val="zh-CN"/>
        </w:rPr>
        <w:t>从事</w:t>
      </w:r>
      <w:r>
        <w:rPr>
          <w:rFonts w:eastAsia="黑体" w:hint="eastAsia"/>
          <w:kern w:val="0"/>
          <w:sz w:val="21"/>
          <w:szCs w:val="21"/>
          <w:shd w:val="clear" w:color="auto" w:fill="FEFFFE"/>
          <w:lang w:val="zh-CN"/>
        </w:rPr>
        <w:t>环境影响评价、环境损害司法鉴定、环境监（检）测服务、在线监控设施运行维护、环境监测设备供应、污染防治工程、污染防治设施运营维护、土壤</w:t>
      </w:r>
      <w:r>
        <w:rPr>
          <w:rFonts w:eastAsia="黑体" w:hint="eastAsia"/>
          <w:sz w:val="21"/>
          <w:szCs w:val="21"/>
          <w:lang w:val="zh-CN"/>
        </w:rPr>
        <w:t>（含地下水）</w:t>
      </w:r>
      <w:r>
        <w:rPr>
          <w:rFonts w:eastAsia="黑体" w:hint="eastAsia"/>
          <w:kern w:val="0"/>
          <w:sz w:val="21"/>
          <w:szCs w:val="21"/>
          <w:shd w:val="clear" w:color="auto" w:fill="FEFFFE"/>
          <w:lang w:val="zh-CN"/>
        </w:rPr>
        <w:t>污染风险管控和修复（包括土壤污染状况调查和土壤污染风险评估、风险管控、修复、风险管</w:t>
      </w:r>
      <w:proofErr w:type="gramStart"/>
      <w:r>
        <w:rPr>
          <w:rFonts w:eastAsia="黑体" w:hint="eastAsia"/>
          <w:kern w:val="0"/>
          <w:sz w:val="21"/>
          <w:szCs w:val="21"/>
          <w:shd w:val="clear" w:color="auto" w:fill="FEFFFE"/>
          <w:lang w:val="zh-CN"/>
        </w:rPr>
        <w:t>控效果</w:t>
      </w:r>
      <w:proofErr w:type="gramEnd"/>
      <w:r>
        <w:rPr>
          <w:rFonts w:eastAsia="黑体" w:hint="eastAsia"/>
          <w:kern w:val="0"/>
          <w:sz w:val="21"/>
          <w:szCs w:val="21"/>
          <w:shd w:val="clear" w:color="auto" w:fill="FEFFFE"/>
          <w:lang w:val="zh-CN"/>
        </w:rPr>
        <w:t>评估、修复效果评估、后期管理等）、机动车环保检验、排污许可证申领、生态环境统计、清洁生产审核等的机构，在生态环境相关服务工作中存在违法违规行为被有关部门实施行政处罚的，按照本记分表中的处罚类型、金额对应的</w:t>
      </w:r>
      <w:proofErr w:type="gramStart"/>
      <w:r>
        <w:rPr>
          <w:rFonts w:eastAsia="黑体" w:hint="eastAsia"/>
          <w:kern w:val="0"/>
          <w:sz w:val="21"/>
          <w:szCs w:val="21"/>
          <w:shd w:val="clear" w:color="auto" w:fill="FEFFFE"/>
          <w:lang w:val="zh-CN"/>
        </w:rPr>
        <w:t>记分值</w:t>
      </w:r>
      <w:proofErr w:type="gramEnd"/>
      <w:r>
        <w:rPr>
          <w:rFonts w:eastAsia="黑体" w:hint="eastAsia"/>
          <w:kern w:val="0"/>
          <w:sz w:val="21"/>
          <w:szCs w:val="21"/>
          <w:shd w:val="clear" w:color="auto" w:fill="FEFFFE"/>
          <w:lang w:val="zh-CN"/>
        </w:rPr>
        <w:t>记分；被人民法院判</w:t>
      </w:r>
      <w:r>
        <w:rPr>
          <w:rFonts w:eastAsia="黑体" w:hint="eastAsia"/>
          <w:kern w:val="0"/>
          <w:sz w:val="21"/>
          <w:szCs w:val="21"/>
          <w:shd w:val="clear" w:color="auto" w:fill="FEFFFE"/>
          <w:lang w:val="zh-CN"/>
        </w:rPr>
        <w:t>决构成犯罪的，按照本记分表第</w:t>
      </w:r>
      <w:r>
        <w:rPr>
          <w:rFonts w:eastAsia="黑体"/>
          <w:kern w:val="0"/>
          <w:sz w:val="21"/>
          <w:szCs w:val="21"/>
          <w:shd w:val="clear" w:color="auto" w:fill="FEFFFE"/>
        </w:rPr>
        <w:t>23</w:t>
      </w:r>
      <w:r>
        <w:rPr>
          <w:rFonts w:eastAsia="黑体" w:hint="eastAsia"/>
          <w:kern w:val="0"/>
          <w:sz w:val="21"/>
          <w:szCs w:val="21"/>
          <w:shd w:val="clear" w:color="auto" w:fill="FEFFFE"/>
        </w:rPr>
        <w:t>项记分。</w:t>
      </w:r>
    </w:p>
    <w:p w:rsidR="00D728FF" w:rsidRDefault="00E27C25">
      <w:pPr>
        <w:rPr>
          <w:rFonts w:ascii="黑体" w:eastAsia="黑体" w:hAnsi="黑体"/>
          <w:bCs/>
          <w:kern w:val="0"/>
          <w:szCs w:val="24"/>
        </w:rPr>
      </w:pPr>
      <w:r>
        <w:rPr>
          <w:rFonts w:eastAsia="黑体"/>
          <w:kern w:val="0"/>
          <w:szCs w:val="21"/>
          <w:shd w:val="clear" w:color="auto" w:fill="FEFFFE"/>
        </w:rPr>
        <w:br w:type="page"/>
      </w:r>
      <w:r>
        <w:rPr>
          <w:rFonts w:ascii="黑体" w:eastAsia="黑体" w:hAnsi="黑体" w:hint="eastAsia"/>
          <w:bCs/>
          <w:kern w:val="0"/>
          <w:szCs w:val="24"/>
        </w:rPr>
        <w:lastRenderedPageBreak/>
        <w:t>附件</w:t>
      </w:r>
      <w:r>
        <w:rPr>
          <w:rFonts w:ascii="黑体" w:eastAsia="黑体" w:hAnsi="黑体"/>
          <w:bCs/>
          <w:kern w:val="0"/>
          <w:szCs w:val="24"/>
        </w:rPr>
        <w:t>2</w:t>
      </w:r>
    </w:p>
    <w:p w:rsidR="00D728FF" w:rsidRDefault="00D728FF">
      <w:pPr>
        <w:shd w:val="clear" w:color="auto" w:fill="FFFFFE"/>
        <w:autoSpaceDE w:val="0"/>
        <w:autoSpaceDN w:val="0"/>
        <w:snapToGrid w:val="0"/>
        <w:spacing w:line="600" w:lineRule="exact"/>
        <w:ind w:firstLineChars="200" w:firstLine="640"/>
        <w:jc w:val="left"/>
        <w:outlineLvl w:val="0"/>
        <w:rPr>
          <w:rFonts w:eastAsia="黑体"/>
          <w:kern w:val="0"/>
          <w:szCs w:val="21"/>
          <w:shd w:val="clear" w:color="auto" w:fill="FEFFFE"/>
        </w:rPr>
      </w:pPr>
    </w:p>
    <w:p w:rsidR="00D728FF" w:rsidRDefault="00E27C25">
      <w:pPr>
        <w:shd w:val="clear" w:color="auto" w:fill="FFFFFE"/>
        <w:autoSpaceDE w:val="0"/>
        <w:autoSpaceDN w:val="0"/>
        <w:spacing w:line="600" w:lineRule="exact"/>
        <w:jc w:val="center"/>
        <w:outlineLvl w:val="0"/>
        <w:rPr>
          <w:rFonts w:eastAsia="方正小标宋简体"/>
          <w:kern w:val="0"/>
          <w:sz w:val="44"/>
          <w:szCs w:val="44"/>
        </w:rPr>
      </w:pPr>
      <w:r>
        <w:rPr>
          <w:rFonts w:eastAsia="方正小标宋简体" w:hint="eastAsia"/>
          <w:kern w:val="0"/>
          <w:sz w:val="44"/>
          <w:szCs w:val="44"/>
        </w:rPr>
        <w:t>企业环境信用等级描述</w:t>
      </w:r>
    </w:p>
    <w:p w:rsidR="00D728FF" w:rsidRDefault="00D728FF">
      <w:pPr>
        <w:shd w:val="clear" w:color="auto" w:fill="FFFFFE"/>
        <w:autoSpaceDE w:val="0"/>
        <w:autoSpaceDN w:val="0"/>
        <w:spacing w:line="600" w:lineRule="exact"/>
        <w:jc w:val="center"/>
        <w:outlineLvl w:val="0"/>
        <w:rPr>
          <w:rFonts w:eastAsia="黑体"/>
          <w:kern w:val="0"/>
          <w:sz w:val="44"/>
          <w:szCs w:val="44"/>
          <w:shd w:val="clear" w:color="auto" w:fill="FEFFFE"/>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217"/>
        <w:gridCol w:w="1167"/>
        <w:gridCol w:w="4799"/>
      </w:tblGrid>
      <w:tr w:rsidR="00D728FF">
        <w:trPr>
          <w:trHeight w:val="399"/>
          <w:jc w:val="center"/>
        </w:trPr>
        <w:tc>
          <w:tcPr>
            <w:tcW w:w="127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信用标识</w:t>
            </w:r>
          </w:p>
        </w:tc>
        <w:tc>
          <w:tcPr>
            <w:tcW w:w="221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信用类别</w:t>
            </w:r>
          </w:p>
        </w:tc>
        <w:tc>
          <w:tcPr>
            <w:tcW w:w="116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信用等级</w:t>
            </w:r>
          </w:p>
        </w:tc>
        <w:tc>
          <w:tcPr>
            <w:tcW w:w="4799"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环境信用描述</w:t>
            </w:r>
          </w:p>
        </w:tc>
      </w:tr>
      <w:tr w:rsidR="00D728FF">
        <w:trPr>
          <w:trHeight w:val="399"/>
          <w:jc w:val="center"/>
        </w:trPr>
        <w:tc>
          <w:tcPr>
            <w:tcW w:w="127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绿色</w:t>
            </w:r>
          </w:p>
        </w:tc>
        <w:tc>
          <w:tcPr>
            <w:tcW w:w="2217" w:type="dxa"/>
            <w:tcBorders>
              <w:top w:val="single" w:sz="4" w:space="0" w:color="auto"/>
              <w:left w:val="single" w:sz="4" w:space="0" w:color="auto"/>
              <w:bottom w:val="single" w:sz="4" w:space="0" w:color="auto"/>
              <w:right w:val="single" w:sz="4" w:space="0" w:color="auto"/>
            </w:tcBorders>
            <w:noWrap/>
            <w:vAlign w:val="center"/>
          </w:tcPr>
          <w:p w:rsidR="00D728FF" w:rsidRDefault="00E27C25">
            <w:pPr>
              <w:widowControl/>
              <w:jc w:val="center"/>
              <w:rPr>
                <w:rFonts w:eastAsia="黑体"/>
                <w:kern w:val="0"/>
                <w:szCs w:val="21"/>
                <w:shd w:val="clear" w:color="auto" w:fill="FEFFFE"/>
              </w:rPr>
            </w:pPr>
            <w:r>
              <w:rPr>
                <w:rFonts w:eastAsia="黑体" w:hint="eastAsia"/>
                <w:kern w:val="0"/>
                <w:sz w:val="21"/>
                <w:szCs w:val="21"/>
                <w:shd w:val="clear" w:color="auto" w:fill="FEFFFE"/>
              </w:rPr>
              <w:t>诚信守法</w:t>
            </w:r>
          </w:p>
        </w:tc>
        <w:tc>
          <w:tcPr>
            <w:tcW w:w="116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kern w:val="0"/>
                <w:sz w:val="21"/>
                <w:szCs w:val="21"/>
                <w:shd w:val="clear" w:color="auto" w:fill="FEFFFE"/>
              </w:rPr>
              <w:t>A</w:t>
            </w:r>
          </w:p>
        </w:tc>
        <w:tc>
          <w:tcPr>
            <w:tcW w:w="4799"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无环境违法违规行为记录或者已完成信用修复的企业</w:t>
            </w:r>
          </w:p>
        </w:tc>
      </w:tr>
      <w:tr w:rsidR="00D728FF">
        <w:trPr>
          <w:trHeight w:val="399"/>
          <w:jc w:val="center"/>
        </w:trPr>
        <w:tc>
          <w:tcPr>
            <w:tcW w:w="127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蓝色</w:t>
            </w:r>
          </w:p>
        </w:tc>
        <w:tc>
          <w:tcPr>
            <w:tcW w:w="221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轻微失信</w:t>
            </w:r>
          </w:p>
        </w:tc>
        <w:tc>
          <w:tcPr>
            <w:tcW w:w="116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kern w:val="0"/>
                <w:sz w:val="21"/>
                <w:szCs w:val="21"/>
                <w:shd w:val="clear" w:color="auto" w:fill="FEFFFE"/>
              </w:rPr>
              <w:t>B</w:t>
            </w:r>
          </w:p>
        </w:tc>
        <w:tc>
          <w:tcPr>
            <w:tcW w:w="4799"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累计记分为</w:t>
            </w:r>
            <w:r>
              <w:rPr>
                <w:rFonts w:eastAsia="黑体"/>
                <w:kern w:val="0"/>
                <w:sz w:val="21"/>
                <w:szCs w:val="21"/>
                <w:shd w:val="clear" w:color="auto" w:fill="FEFFFE"/>
              </w:rPr>
              <w:t>1</w:t>
            </w:r>
            <w:r>
              <w:rPr>
                <w:rFonts w:eastAsia="黑体" w:hint="eastAsia"/>
                <w:kern w:val="0"/>
                <w:sz w:val="21"/>
                <w:szCs w:val="21"/>
                <w:shd w:val="clear" w:color="auto" w:fill="FEFFFE"/>
              </w:rPr>
              <w:t>分且尚未完成信用修复的企业</w:t>
            </w:r>
          </w:p>
        </w:tc>
      </w:tr>
      <w:tr w:rsidR="00D728FF">
        <w:trPr>
          <w:trHeight w:val="399"/>
          <w:jc w:val="center"/>
        </w:trPr>
        <w:tc>
          <w:tcPr>
            <w:tcW w:w="127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黄色</w:t>
            </w:r>
          </w:p>
        </w:tc>
        <w:tc>
          <w:tcPr>
            <w:tcW w:w="221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一般失信</w:t>
            </w:r>
          </w:p>
        </w:tc>
        <w:tc>
          <w:tcPr>
            <w:tcW w:w="116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kern w:val="0"/>
                <w:sz w:val="21"/>
                <w:szCs w:val="21"/>
                <w:shd w:val="clear" w:color="auto" w:fill="FEFFFE"/>
              </w:rPr>
              <w:t>C</w:t>
            </w:r>
          </w:p>
        </w:tc>
        <w:tc>
          <w:tcPr>
            <w:tcW w:w="4799"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累计记分为</w:t>
            </w:r>
            <w:r>
              <w:rPr>
                <w:rFonts w:eastAsia="黑体"/>
                <w:kern w:val="0"/>
                <w:sz w:val="21"/>
                <w:szCs w:val="21"/>
                <w:shd w:val="clear" w:color="auto" w:fill="FEFFFE"/>
              </w:rPr>
              <w:t>2</w:t>
            </w:r>
            <w:r>
              <w:rPr>
                <w:rFonts w:eastAsia="黑体" w:hint="eastAsia"/>
                <w:kern w:val="0"/>
                <w:sz w:val="21"/>
                <w:szCs w:val="21"/>
                <w:shd w:val="clear" w:color="auto" w:fill="FEFFFE"/>
              </w:rPr>
              <w:t>分及以上、尚未完成信用修复，且不符合环境信用</w:t>
            </w:r>
            <w:r>
              <w:rPr>
                <w:rFonts w:eastAsia="黑体"/>
                <w:kern w:val="0"/>
                <w:sz w:val="21"/>
                <w:szCs w:val="21"/>
                <w:shd w:val="clear" w:color="auto" w:fill="FEFFFE"/>
              </w:rPr>
              <w:t>“</w:t>
            </w:r>
            <w:r>
              <w:rPr>
                <w:rFonts w:eastAsia="黑体" w:hint="eastAsia"/>
                <w:kern w:val="0"/>
                <w:sz w:val="21"/>
                <w:szCs w:val="21"/>
                <w:shd w:val="clear" w:color="auto" w:fill="FEFFFE"/>
              </w:rPr>
              <w:t>黑名单</w:t>
            </w:r>
            <w:r>
              <w:rPr>
                <w:rFonts w:eastAsia="黑体"/>
                <w:kern w:val="0"/>
                <w:sz w:val="21"/>
                <w:szCs w:val="21"/>
                <w:shd w:val="clear" w:color="auto" w:fill="FEFFFE"/>
              </w:rPr>
              <w:t>”</w:t>
            </w:r>
            <w:r>
              <w:rPr>
                <w:rFonts w:eastAsia="黑体" w:hint="eastAsia"/>
                <w:kern w:val="0"/>
                <w:sz w:val="21"/>
                <w:szCs w:val="21"/>
                <w:shd w:val="clear" w:color="auto" w:fill="FEFFFE"/>
              </w:rPr>
              <w:t>情形的企业</w:t>
            </w:r>
          </w:p>
        </w:tc>
      </w:tr>
      <w:tr w:rsidR="00D728FF">
        <w:trPr>
          <w:trHeight w:val="399"/>
          <w:jc w:val="center"/>
        </w:trPr>
        <w:tc>
          <w:tcPr>
            <w:tcW w:w="127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黑色</w:t>
            </w:r>
          </w:p>
        </w:tc>
        <w:tc>
          <w:tcPr>
            <w:tcW w:w="221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严重失信</w:t>
            </w:r>
          </w:p>
        </w:tc>
        <w:tc>
          <w:tcPr>
            <w:tcW w:w="1167"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kern w:val="0"/>
                <w:sz w:val="21"/>
                <w:szCs w:val="21"/>
                <w:shd w:val="clear" w:color="auto" w:fill="FEFFFE"/>
              </w:rPr>
              <w:t>D</w:t>
            </w:r>
          </w:p>
        </w:tc>
        <w:tc>
          <w:tcPr>
            <w:tcW w:w="4799" w:type="dxa"/>
            <w:tcBorders>
              <w:top w:val="single" w:sz="4" w:space="0" w:color="auto"/>
              <w:left w:val="single" w:sz="4" w:space="0" w:color="auto"/>
              <w:bottom w:val="single" w:sz="4" w:space="0" w:color="auto"/>
              <w:right w:val="single" w:sz="4" w:space="0" w:color="auto"/>
            </w:tcBorders>
            <w:noWrap/>
            <w:vAlign w:val="center"/>
          </w:tcPr>
          <w:p w:rsidR="00D728FF" w:rsidRDefault="00E27C25">
            <w:pPr>
              <w:autoSpaceDE w:val="0"/>
              <w:autoSpaceDN w:val="0"/>
              <w:snapToGrid w:val="0"/>
              <w:jc w:val="center"/>
              <w:outlineLvl w:val="0"/>
              <w:rPr>
                <w:rFonts w:eastAsia="黑体"/>
                <w:kern w:val="0"/>
                <w:szCs w:val="21"/>
                <w:shd w:val="clear" w:color="auto" w:fill="FEFFFE"/>
              </w:rPr>
            </w:pPr>
            <w:r>
              <w:rPr>
                <w:rFonts w:eastAsia="黑体" w:hint="eastAsia"/>
                <w:kern w:val="0"/>
                <w:sz w:val="21"/>
                <w:szCs w:val="21"/>
                <w:shd w:val="clear" w:color="auto" w:fill="FEFFFE"/>
              </w:rPr>
              <w:t>符合本办法第十三条规定的应当列入环境信用</w:t>
            </w:r>
            <w:r>
              <w:rPr>
                <w:rFonts w:eastAsia="黑体"/>
                <w:kern w:val="0"/>
                <w:sz w:val="21"/>
                <w:szCs w:val="21"/>
                <w:shd w:val="clear" w:color="auto" w:fill="FEFFFE"/>
              </w:rPr>
              <w:t>“</w:t>
            </w:r>
            <w:r>
              <w:rPr>
                <w:rFonts w:eastAsia="黑体" w:hint="eastAsia"/>
                <w:kern w:val="0"/>
                <w:sz w:val="21"/>
                <w:szCs w:val="21"/>
                <w:shd w:val="clear" w:color="auto" w:fill="FEFFFE"/>
              </w:rPr>
              <w:t>黑名单</w:t>
            </w:r>
            <w:r>
              <w:rPr>
                <w:rFonts w:eastAsia="黑体"/>
                <w:kern w:val="0"/>
                <w:sz w:val="21"/>
                <w:szCs w:val="21"/>
                <w:shd w:val="clear" w:color="auto" w:fill="FEFFFE"/>
              </w:rPr>
              <w:t>”</w:t>
            </w:r>
            <w:r>
              <w:rPr>
                <w:rFonts w:eastAsia="黑体" w:hint="eastAsia"/>
                <w:kern w:val="0"/>
                <w:sz w:val="21"/>
                <w:szCs w:val="21"/>
                <w:shd w:val="clear" w:color="auto" w:fill="FEFFFE"/>
              </w:rPr>
              <w:t>情形的企业</w:t>
            </w:r>
          </w:p>
        </w:tc>
      </w:tr>
    </w:tbl>
    <w:p w:rsidR="00D728FF" w:rsidRDefault="00E27C25">
      <w:pPr>
        <w:shd w:val="clear" w:color="auto" w:fill="FFFFFE"/>
        <w:autoSpaceDE w:val="0"/>
        <w:autoSpaceDN w:val="0"/>
        <w:spacing w:line="500" w:lineRule="exact"/>
        <w:jc w:val="left"/>
        <w:outlineLvl w:val="0"/>
        <w:rPr>
          <w:rFonts w:ascii="黑体" w:eastAsia="黑体" w:hAnsi="黑体"/>
          <w:kern w:val="0"/>
          <w:szCs w:val="21"/>
          <w:shd w:val="clear" w:color="auto" w:fill="FEFFFE"/>
        </w:rPr>
      </w:pPr>
      <w:r>
        <w:rPr>
          <w:rFonts w:eastAsia="黑体" w:hint="eastAsia"/>
          <w:kern w:val="0"/>
          <w:sz w:val="21"/>
          <w:szCs w:val="21"/>
          <w:shd w:val="clear" w:color="auto" w:fill="FEFFFE"/>
        </w:rPr>
        <w:t>注：本表中的信用类别和信用等级与省委办公厅、省政府办公厅印发的《差异化监管流程再造实施方案》和省发展改革委印发的《山东省信用分级分类管理办法（试行）》中的分级分类标准保持一致。</w:t>
      </w:r>
      <w:r>
        <w:rPr>
          <w:rFonts w:eastAsia="仿宋_GB2312"/>
          <w:kern w:val="0"/>
          <w:szCs w:val="24"/>
          <w:shd w:val="clear" w:color="auto" w:fill="FEFFFE"/>
        </w:rPr>
        <w:br w:type="page"/>
      </w:r>
      <w:r>
        <w:rPr>
          <w:rFonts w:ascii="黑体" w:eastAsia="黑体" w:hAnsi="黑体" w:hint="eastAsia"/>
          <w:bCs/>
          <w:kern w:val="0"/>
          <w:szCs w:val="24"/>
        </w:rPr>
        <w:lastRenderedPageBreak/>
        <w:t>附件</w:t>
      </w:r>
      <w:r>
        <w:rPr>
          <w:rFonts w:ascii="黑体" w:eastAsia="黑体" w:hAnsi="黑体"/>
          <w:bCs/>
          <w:kern w:val="0"/>
          <w:szCs w:val="24"/>
        </w:rPr>
        <w:t>3</w:t>
      </w:r>
    </w:p>
    <w:p w:rsidR="00D728FF" w:rsidRDefault="00D728FF">
      <w:pPr>
        <w:shd w:val="clear" w:color="auto" w:fill="FFFFFE"/>
        <w:autoSpaceDE w:val="0"/>
        <w:autoSpaceDN w:val="0"/>
        <w:spacing w:line="400" w:lineRule="exact"/>
        <w:jc w:val="center"/>
        <w:outlineLvl w:val="0"/>
        <w:rPr>
          <w:rFonts w:eastAsia="方正小标宋简体"/>
          <w:kern w:val="0"/>
          <w:sz w:val="44"/>
          <w:szCs w:val="44"/>
          <w:shd w:val="clear" w:color="auto" w:fill="FEFFFE"/>
        </w:rPr>
      </w:pPr>
    </w:p>
    <w:p w:rsidR="00D728FF" w:rsidRDefault="00E27C25">
      <w:pPr>
        <w:shd w:val="clear" w:color="auto" w:fill="FFFFFE"/>
        <w:autoSpaceDE w:val="0"/>
        <w:autoSpaceDN w:val="0"/>
        <w:spacing w:line="600" w:lineRule="exact"/>
        <w:jc w:val="center"/>
        <w:outlineLvl w:val="0"/>
        <w:rPr>
          <w:rFonts w:eastAsia="方正小标宋简体"/>
          <w:kern w:val="0"/>
          <w:sz w:val="44"/>
          <w:szCs w:val="44"/>
          <w:shd w:val="clear" w:color="auto" w:fill="FEFFFE"/>
        </w:rPr>
      </w:pPr>
      <w:r>
        <w:rPr>
          <w:rFonts w:eastAsia="方正小标宋简体" w:hint="eastAsia"/>
          <w:kern w:val="0"/>
          <w:sz w:val="44"/>
          <w:szCs w:val="44"/>
          <w:shd w:val="clear" w:color="auto" w:fill="FEFFFE"/>
        </w:rPr>
        <w:t>企业（单位）环境信用承诺书</w:t>
      </w:r>
    </w:p>
    <w:p w:rsidR="00D728FF" w:rsidRDefault="00D728FF">
      <w:pPr>
        <w:shd w:val="clear" w:color="auto" w:fill="FFFFFE"/>
        <w:autoSpaceDE w:val="0"/>
        <w:autoSpaceDN w:val="0"/>
        <w:spacing w:line="400" w:lineRule="exact"/>
        <w:jc w:val="left"/>
        <w:outlineLvl w:val="0"/>
        <w:rPr>
          <w:rFonts w:eastAsia="仿宋_GB2312"/>
          <w:kern w:val="0"/>
          <w:szCs w:val="24"/>
          <w:shd w:val="clear" w:color="auto" w:fill="FEFFFE"/>
        </w:rPr>
      </w:pPr>
    </w:p>
    <w:p w:rsidR="00D728FF" w:rsidRDefault="00E27C25">
      <w:pPr>
        <w:shd w:val="clear" w:color="auto" w:fill="FFFFFE"/>
        <w:autoSpaceDE w:val="0"/>
        <w:autoSpaceDN w:val="0"/>
        <w:spacing w:line="550" w:lineRule="exact"/>
        <w:ind w:firstLineChars="200" w:firstLine="640"/>
        <w:jc w:val="left"/>
        <w:outlineLvl w:val="0"/>
        <w:rPr>
          <w:rFonts w:eastAsia="仿宋_GB2312"/>
          <w:kern w:val="0"/>
          <w:szCs w:val="24"/>
          <w:shd w:val="clear" w:color="auto" w:fill="FEFFFE"/>
        </w:rPr>
      </w:pPr>
      <w:r>
        <w:rPr>
          <w:rFonts w:eastAsia="仿宋_GB2312" w:hint="eastAsia"/>
          <w:kern w:val="0"/>
          <w:szCs w:val="24"/>
          <w:shd w:val="clear" w:color="auto" w:fill="FEFFFE"/>
        </w:rPr>
        <w:t>现自愿承诺：坚持守法诚信生产经营，自觉履行以下生态环境保护法律义务和社会责任，接受山东省企业环境信用评价制度的管理。</w:t>
      </w:r>
    </w:p>
    <w:p w:rsidR="00D728FF" w:rsidRDefault="00E27C25">
      <w:pPr>
        <w:shd w:val="clear" w:color="auto" w:fill="FFFFFE"/>
        <w:autoSpaceDE w:val="0"/>
        <w:autoSpaceDN w:val="0"/>
        <w:spacing w:line="550" w:lineRule="exact"/>
        <w:ind w:firstLineChars="200" w:firstLine="640"/>
        <w:outlineLvl w:val="0"/>
        <w:rPr>
          <w:rFonts w:eastAsia="仿宋_GB2312"/>
          <w:kern w:val="0"/>
          <w:szCs w:val="24"/>
          <w:shd w:val="clear" w:color="auto" w:fill="FEFFFE"/>
        </w:rPr>
      </w:pPr>
      <w:r>
        <w:rPr>
          <w:rFonts w:eastAsia="仿宋_GB2312" w:hint="eastAsia"/>
          <w:kern w:val="0"/>
          <w:szCs w:val="24"/>
          <w:shd w:val="clear" w:color="auto" w:fill="FEFFFE"/>
        </w:rPr>
        <w:t>一、严格遵守有关生态环境保护法律、法规、规章、规范性文件及政策规定，落实生态环境保护主体责任，自觉接受生态环境主管部门的监督检查。</w:t>
      </w:r>
    </w:p>
    <w:p w:rsidR="00D728FF" w:rsidRDefault="00E27C25">
      <w:pPr>
        <w:shd w:val="clear" w:color="auto" w:fill="FFFFFE"/>
        <w:autoSpaceDE w:val="0"/>
        <w:autoSpaceDN w:val="0"/>
        <w:spacing w:line="550" w:lineRule="exact"/>
        <w:ind w:firstLineChars="200" w:firstLine="640"/>
        <w:outlineLvl w:val="0"/>
        <w:rPr>
          <w:rFonts w:eastAsia="仿宋_GB2312"/>
          <w:kern w:val="0"/>
          <w:szCs w:val="24"/>
          <w:shd w:val="clear" w:color="auto" w:fill="FEFFFE"/>
        </w:rPr>
      </w:pPr>
      <w:r>
        <w:rPr>
          <w:rFonts w:eastAsia="仿宋_GB2312" w:hint="eastAsia"/>
          <w:kern w:val="0"/>
          <w:szCs w:val="24"/>
          <w:shd w:val="clear" w:color="auto" w:fill="FEFFFE"/>
        </w:rPr>
        <w:t>二、本企业（单位）提供给生态环境主管部门的所有材料均合法、真实、准确、完整，并对所提供材料的真实性负责。</w:t>
      </w:r>
    </w:p>
    <w:p w:rsidR="00D728FF" w:rsidRDefault="00E27C25">
      <w:pPr>
        <w:shd w:val="clear" w:color="auto" w:fill="FFFFFE"/>
        <w:autoSpaceDE w:val="0"/>
        <w:autoSpaceDN w:val="0"/>
        <w:spacing w:line="550" w:lineRule="exact"/>
        <w:ind w:firstLineChars="200" w:firstLine="640"/>
        <w:outlineLvl w:val="0"/>
        <w:rPr>
          <w:rFonts w:eastAsia="仿宋_GB2312"/>
          <w:kern w:val="0"/>
          <w:szCs w:val="24"/>
          <w:shd w:val="clear" w:color="auto" w:fill="FEFFFE"/>
        </w:rPr>
      </w:pPr>
      <w:r>
        <w:rPr>
          <w:rFonts w:eastAsia="仿宋_GB2312" w:hint="eastAsia"/>
          <w:kern w:val="0"/>
          <w:szCs w:val="24"/>
          <w:shd w:val="clear" w:color="auto" w:fill="FEFFFE"/>
        </w:rPr>
        <w:t>三、自觉接受政府、行业组织、社会公众、新闻舆论的监督，积极履行生态环境保护社会责任。</w:t>
      </w:r>
    </w:p>
    <w:p w:rsidR="00D728FF" w:rsidRDefault="00E27C25">
      <w:pPr>
        <w:shd w:val="clear" w:color="auto" w:fill="FFFFFE"/>
        <w:autoSpaceDE w:val="0"/>
        <w:autoSpaceDN w:val="0"/>
        <w:spacing w:line="550" w:lineRule="exact"/>
        <w:ind w:firstLineChars="200" w:firstLine="640"/>
        <w:outlineLvl w:val="0"/>
        <w:rPr>
          <w:rFonts w:eastAsia="仿宋_GB2312"/>
          <w:kern w:val="0"/>
          <w:szCs w:val="24"/>
          <w:shd w:val="clear" w:color="auto" w:fill="FEFFFE"/>
        </w:rPr>
      </w:pPr>
      <w:r>
        <w:rPr>
          <w:rFonts w:eastAsia="仿宋_GB2312" w:hint="eastAsia"/>
          <w:kern w:val="0"/>
          <w:szCs w:val="24"/>
          <w:shd w:val="clear" w:color="auto" w:fill="FEFFFE"/>
        </w:rPr>
        <w:t>四、本企业（单位）发生环境违法违规行为，除依照有关法律、法规规定接受生态环境主管部门给予企业的行政处罚处理外，本企业（单位）以及法定代表人或者主要负责人、实际控制人自愿接受信用惩戒和约束，并依法承担相应的责任。</w:t>
      </w:r>
    </w:p>
    <w:p w:rsidR="00D728FF" w:rsidRDefault="00E27C25">
      <w:pPr>
        <w:shd w:val="clear" w:color="auto" w:fill="FFFFFE"/>
        <w:autoSpaceDE w:val="0"/>
        <w:autoSpaceDN w:val="0"/>
        <w:spacing w:line="550" w:lineRule="exact"/>
        <w:ind w:firstLineChars="200" w:firstLine="640"/>
        <w:outlineLvl w:val="0"/>
        <w:rPr>
          <w:rFonts w:eastAsia="仿宋_GB2312"/>
          <w:kern w:val="0"/>
          <w:szCs w:val="24"/>
          <w:shd w:val="clear" w:color="auto" w:fill="FEFFFE"/>
        </w:rPr>
      </w:pPr>
      <w:proofErr w:type="gramStart"/>
      <w:r>
        <w:rPr>
          <w:rFonts w:eastAsia="仿宋_GB2312" w:hint="eastAsia"/>
          <w:kern w:val="0"/>
          <w:szCs w:val="24"/>
          <w:shd w:val="clear" w:color="auto" w:fill="FEFFFE"/>
        </w:rPr>
        <w:t>本承诺</w:t>
      </w:r>
      <w:proofErr w:type="gramEnd"/>
      <w:r>
        <w:rPr>
          <w:rFonts w:eastAsia="仿宋_GB2312" w:hint="eastAsia"/>
          <w:kern w:val="0"/>
          <w:szCs w:val="24"/>
          <w:shd w:val="clear" w:color="auto" w:fill="FEFFFE"/>
        </w:rPr>
        <w:t>书自愿向社会公开。</w:t>
      </w:r>
    </w:p>
    <w:p w:rsidR="00D728FF" w:rsidRDefault="00E27C25">
      <w:pPr>
        <w:shd w:val="clear" w:color="auto" w:fill="FFFFFE"/>
        <w:autoSpaceDE w:val="0"/>
        <w:autoSpaceDN w:val="0"/>
        <w:spacing w:line="550" w:lineRule="exact"/>
        <w:ind w:firstLineChars="200" w:firstLine="640"/>
        <w:outlineLvl w:val="0"/>
        <w:rPr>
          <w:rFonts w:eastAsia="仿宋_GB2312"/>
          <w:kern w:val="0"/>
          <w:szCs w:val="24"/>
          <w:shd w:val="clear" w:color="auto" w:fill="FEFFFE"/>
        </w:rPr>
      </w:pPr>
      <w:r>
        <w:rPr>
          <w:rFonts w:eastAsia="仿宋_GB2312" w:hint="eastAsia"/>
          <w:kern w:val="0"/>
          <w:szCs w:val="24"/>
          <w:shd w:val="clear" w:color="auto" w:fill="FEFFFE"/>
        </w:rPr>
        <w:t>特此承诺，敬请社会各界予以监督。</w:t>
      </w:r>
    </w:p>
    <w:p w:rsidR="00D728FF" w:rsidRDefault="00E27C25">
      <w:pPr>
        <w:shd w:val="clear" w:color="auto" w:fill="FFFFFE"/>
        <w:wordWrap w:val="0"/>
        <w:autoSpaceDE w:val="0"/>
        <w:autoSpaceDN w:val="0"/>
        <w:spacing w:beforeLines="70" w:before="218" w:line="556" w:lineRule="exact"/>
        <w:jc w:val="right"/>
        <w:outlineLvl w:val="0"/>
        <w:rPr>
          <w:rFonts w:eastAsia="仿宋_GB2312"/>
          <w:kern w:val="0"/>
          <w:szCs w:val="24"/>
          <w:shd w:val="clear" w:color="auto" w:fill="FEFFFE"/>
        </w:rPr>
      </w:pPr>
      <w:r>
        <w:rPr>
          <w:rFonts w:eastAsia="仿宋_GB2312" w:hint="eastAsia"/>
          <w:kern w:val="0"/>
          <w:szCs w:val="24"/>
          <w:shd w:val="clear" w:color="auto" w:fill="FEFFFE"/>
        </w:rPr>
        <w:t>企业（单位）名称：（盖章）</w:t>
      </w:r>
      <w:r>
        <w:rPr>
          <w:rFonts w:eastAsia="仿宋_GB2312"/>
          <w:kern w:val="0"/>
          <w:szCs w:val="24"/>
          <w:shd w:val="clear" w:color="auto" w:fill="FEFFFE"/>
        </w:rPr>
        <w:t xml:space="preserve">           </w:t>
      </w:r>
      <w:r>
        <w:rPr>
          <w:rFonts w:eastAsia="仿宋_GB2312"/>
          <w:kern w:val="0"/>
          <w:szCs w:val="24"/>
          <w:shd w:val="clear" w:color="auto" w:fill="FEFFFE"/>
        </w:rPr>
        <w:t xml:space="preserve">  </w:t>
      </w:r>
    </w:p>
    <w:p w:rsidR="00D728FF" w:rsidRDefault="00E27C25">
      <w:pPr>
        <w:shd w:val="clear" w:color="auto" w:fill="FFFFFE"/>
        <w:wordWrap w:val="0"/>
        <w:autoSpaceDE w:val="0"/>
        <w:autoSpaceDN w:val="0"/>
        <w:spacing w:line="556" w:lineRule="exact"/>
        <w:jc w:val="right"/>
        <w:outlineLvl w:val="0"/>
        <w:rPr>
          <w:rFonts w:eastAsia="仿宋_GB2312"/>
          <w:kern w:val="0"/>
          <w:szCs w:val="24"/>
          <w:shd w:val="clear" w:color="auto" w:fill="FEFFFE"/>
        </w:rPr>
      </w:pPr>
      <w:r>
        <w:rPr>
          <w:rFonts w:eastAsia="仿宋_GB2312" w:hint="eastAsia"/>
          <w:kern w:val="0"/>
          <w:szCs w:val="24"/>
          <w:shd w:val="clear" w:color="auto" w:fill="FEFFFE"/>
        </w:rPr>
        <w:t>统一社会信用代码：</w:t>
      </w:r>
      <w:r>
        <w:rPr>
          <w:rFonts w:eastAsia="仿宋_GB2312"/>
          <w:kern w:val="0"/>
          <w:szCs w:val="24"/>
          <w:shd w:val="clear" w:color="auto" w:fill="FEFFFE"/>
        </w:rPr>
        <w:t xml:space="preserve">                     </w:t>
      </w:r>
    </w:p>
    <w:p w:rsidR="00D728FF" w:rsidRPr="00E27C25" w:rsidRDefault="00E27C25" w:rsidP="00E27C25">
      <w:pPr>
        <w:shd w:val="clear" w:color="auto" w:fill="FFFFFE"/>
        <w:autoSpaceDE w:val="0"/>
        <w:autoSpaceDN w:val="0"/>
        <w:spacing w:line="550" w:lineRule="exact"/>
        <w:ind w:firstLineChars="200" w:firstLine="640"/>
        <w:jc w:val="center"/>
        <w:outlineLvl w:val="0"/>
        <w:rPr>
          <w:rFonts w:ascii="仿宋_GB2312" w:eastAsia="仿宋_GB2312" w:hint="eastAsia"/>
          <w:szCs w:val="24"/>
        </w:rPr>
      </w:pPr>
      <w:r>
        <w:rPr>
          <w:rFonts w:eastAsia="仿宋_GB2312"/>
          <w:kern w:val="0"/>
          <w:szCs w:val="24"/>
          <w:shd w:val="clear" w:color="auto" w:fill="FEFFFE"/>
        </w:rPr>
        <w:t xml:space="preserve">                             </w:t>
      </w:r>
      <w:r>
        <w:rPr>
          <w:rFonts w:eastAsia="仿宋_GB2312" w:hint="eastAsia"/>
          <w:kern w:val="0"/>
          <w:szCs w:val="24"/>
          <w:shd w:val="clear" w:color="auto" w:fill="FEFFFE"/>
        </w:rPr>
        <w:t>年</w:t>
      </w:r>
      <w:r>
        <w:rPr>
          <w:rFonts w:eastAsia="仿宋_GB2312"/>
          <w:kern w:val="0"/>
          <w:szCs w:val="24"/>
          <w:shd w:val="clear" w:color="auto" w:fill="FEFFFE"/>
        </w:rPr>
        <w:t xml:space="preserve">   </w:t>
      </w:r>
      <w:r>
        <w:rPr>
          <w:rFonts w:eastAsia="仿宋_GB2312" w:hint="eastAsia"/>
          <w:kern w:val="0"/>
          <w:szCs w:val="24"/>
          <w:shd w:val="clear" w:color="auto" w:fill="FEFFFE"/>
        </w:rPr>
        <w:t>月</w:t>
      </w:r>
      <w:r>
        <w:rPr>
          <w:rFonts w:eastAsia="仿宋_GB2312"/>
          <w:kern w:val="0"/>
          <w:szCs w:val="24"/>
          <w:shd w:val="clear" w:color="auto" w:fill="FEFFFE"/>
        </w:rPr>
        <w:t xml:space="preserve">   </w:t>
      </w:r>
      <w:r>
        <w:rPr>
          <w:rFonts w:eastAsia="仿宋_GB2312" w:hint="eastAsia"/>
          <w:kern w:val="0"/>
          <w:szCs w:val="24"/>
          <w:shd w:val="clear" w:color="auto" w:fill="FEFFFE"/>
        </w:rPr>
        <w:t>日</w:t>
      </w:r>
    </w:p>
    <w:sectPr w:rsidR="00D728FF" w:rsidRPr="00E27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424A1"/>
    <w:rsid w:val="00D728FF"/>
    <w:rsid w:val="00E27C25"/>
    <w:rsid w:val="20C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B41C98-D8FC-4E30-9D2D-344E297D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340</Words>
  <Characters>1942</Characters>
  <Application>Microsoft Office Word</Application>
  <DocSecurity>0</DocSecurity>
  <Lines>16</Lines>
  <Paragraphs>4</Paragraphs>
  <ScaleCrop>false</ScaleCrop>
  <Company>山东海岳环境科技股份有限公司</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SUEN</cp:lastModifiedBy>
  <cp:revision>2</cp:revision>
  <dcterms:created xsi:type="dcterms:W3CDTF">2021-01-04T01:55:00Z</dcterms:created>
  <dcterms:modified xsi:type="dcterms:W3CDTF">2021-01-05T07:39:00Z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